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7AFA" w14:textId="77777777" w:rsidR="000F14DD" w:rsidRPr="00343F3B" w:rsidRDefault="000F14DD" w:rsidP="00A1116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COMMISSION POLICY SUPPORTING PROCEDURE -</w:t>
      </w:r>
    </w:p>
    <w:p w14:paraId="5B21B205" w14:textId="77777777" w:rsidR="000F14DD" w:rsidRPr="00343F3B" w:rsidRDefault="000F14DD" w:rsidP="00A1116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HAZARD IDENTIFICATION, ASSESSMENT AND CONTROL</w:t>
      </w:r>
    </w:p>
    <w:p w14:paraId="36B7448E" w14:textId="77777777" w:rsidR="000F14DD" w:rsidRPr="00343F3B" w:rsidRDefault="000F14DD" w:rsidP="00A1116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PROCESS</w:t>
      </w:r>
    </w:p>
    <w:p w14:paraId="2FCDD427" w14:textId="77777777" w:rsidR="000F14DD" w:rsidRPr="00343F3B" w:rsidRDefault="000F14DD" w:rsidP="00343F3B">
      <w:pPr>
        <w:jc w:val="both"/>
        <w:rPr>
          <w:rFonts w:cs="Arial-BoldMT"/>
          <w:b/>
          <w:bCs/>
          <w:sz w:val="24"/>
          <w:szCs w:val="24"/>
        </w:rPr>
      </w:pPr>
    </w:p>
    <w:p w14:paraId="0650AA79" w14:textId="77777777" w:rsidR="008C7694" w:rsidRPr="00343F3B" w:rsidRDefault="000F14DD" w:rsidP="00343F3B">
      <w:pPr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PURPOSE</w:t>
      </w:r>
    </w:p>
    <w:p w14:paraId="5FA89050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1. It is the purpose of this document to de</w:t>
      </w:r>
      <w:r w:rsidR="00E56B73" w:rsidRPr="00343F3B">
        <w:rPr>
          <w:rFonts w:cs="ArialMT"/>
          <w:sz w:val="24"/>
          <w:szCs w:val="24"/>
        </w:rPr>
        <w:t xml:space="preserve">scribe the procedures governing </w:t>
      </w:r>
      <w:r w:rsidRPr="00343F3B">
        <w:rPr>
          <w:rFonts w:cs="ArialMT"/>
          <w:sz w:val="24"/>
          <w:szCs w:val="24"/>
        </w:rPr>
        <w:t>the manner in which the Commission a</w:t>
      </w:r>
      <w:r w:rsidR="00E56B73" w:rsidRPr="00343F3B">
        <w:rPr>
          <w:rFonts w:cs="ArialMT"/>
          <w:sz w:val="24"/>
          <w:szCs w:val="24"/>
        </w:rPr>
        <w:t xml:space="preserve">ims to minimise its OSH-related </w:t>
      </w:r>
      <w:r w:rsidRPr="00343F3B">
        <w:rPr>
          <w:rFonts w:cs="ArialMT"/>
          <w:sz w:val="24"/>
          <w:szCs w:val="24"/>
        </w:rPr>
        <w:t>risks through the identification, assessmen</w:t>
      </w:r>
      <w:r w:rsidR="00E56B73" w:rsidRPr="00343F3B">
        <w:rPr>
          <w:rFonts w:cs="ArialMT"/>
          <w:sz w:val="24"/>
          <w:szCs w:val="24"/>
        </w:rPr>
        <w:t>t and control of hazards before they cause injury or ill-</w:t>
      </w:r>
      <w:r w:rsidRPr="00343F3B">
        <w:rPr>
          <w:rFonts w:cs="ArialMT"/>
          <w:sz w:val="24"/>
          <w:szCs w:val="24"/>
        </w:rPr>
        <w:t>health to Commission employees.</w:t>
      </w:r>
    </w:p>
    <w:p w14:paraId="60B53B48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14:paraId="23B01A6A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PROCEDURE SUMMARY</w:t>
      </w:r>
    </w:p>
    <w:p w14:paraId="35F22582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Hazard Identification</w:t>
      </w:r>
    </w:p>
    <w:p w14:paraId="2595AD44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Hazard Assessment</w:t>
      </w:r>
    </w:p>
    <w:p w14:paraId="7A24D6A7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Hazard Control</w:t>
      </w:r>
    </w:p>
    <w:p w14:paraId="724BB369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Evaluation</w:t>
      </w:r>
    </w:p>
    <w:p w14:paraId="5D2EAEF7" w14:textId="77777777" w:rsidR="000F14DD" w:rsidRPr="00343F3B" w:rsidRDefault="000F14DD" w:rsidP="00343F3B">
      <w:pPr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Recording and Reporting</w:t>
      </w:r>
    </w:p>
    <w:p w14:paraId="62FB2241" w14:textId="77777777" w:rsidR="000F14DD" w:rsidRPr="00343F3B" w:rsidRDefault="000F14DD" w:rsidP="00343F3B">
      <w:pPr>
        <w:jc w:val="both"/>
        <w:rPr>
          <w:rFonts w:cs="ArialMT"/>
          <w:sz w:val="24"/>
          <w:szCs w:val="24"/>
        </w:rPr>
      </w:pPr>
    </w:p>
    <w:p w14:paraId="575E005D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PROCEDURE DETAILS</w:t>
      </w:r>
    </w:p>
    <w:p w14:paraId="4C40C714" w14:textId="77777777" w:rsidR="00E56B73" w:rsidRPr="00343F3B" w:rsidRDefault="00E56B73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14:paraId="6C221531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HAZARD IDENTIFICATION</w:t>
      </w:r>
    </w:p>
    <w:p w14:paraId="7293EB37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 xml:space="preserve">2. Hazards are defined as any source or situation with a </w:t>
      </w:r>
      <w:r w:rsidRPr="00343F3B">
        <w:rPr>
          <w:rFonts w:cs="Arial-ItalicMT"/>
          <w:i/>
          <w:iCs/>
          <w:sz w:val="24"/>
          <w:szCs w:val="24"/>
        </w:rPr>
        <w:t xml:space="preserve">potential </w:t>
      </w:r>
      <w:r w:rsidR="00E56B73" w:rsidRPr="00343F3B">
        <w:rPr>
          <w:rFonts w:cs="ArialMT"/>
          <w:sz w:val="24"/>
          <w:szCs w:val="24"/>
        </w:rPr>
        <w:t xml:space="preserve">for harm in </w:t>
      </w:r>
      <w:r w:rsidRPr="00343F3B">
        <w:rPr>
          <w:rFonts w:cs="ArialMT"/>
          <w:sz w:val="24"/>
          <w:szCs w:val="24"/>
        </w:rPr>
        <w:t>terms of injury, ill-health, damage to prope</w:t>
      </w:r>
      <w:r w:rsidR="00E56B73" w:rsidRPr="00343F3B">
        <w:rPr>
          <w:rFonts w:cs="ArialMT"/>
          <w:sz w:val="24"/>
          <w:szCs w:val="24"/>
        </w:rPr>
        <w:t xml:space="preserve">rty, damage to the environment, </w:t>
      </w:r>
      <w:r w:rsidRPr="00343F3B">
        <w:rPr>
          <w:rFonts w:cs="ArialMT"/>
          <w:sz w:val="24"/>
          <w:szCs w:val="24"/>
        </w:rPr>
        <w:t>or a combination of these.</w:t>
      </w:r>
    </w:p>
    <w:p w14:paraId="2FB384E8" w14:textId="77777777" w:rsidR="00E56B73" w:rsidRPr="00343F3B" w:rsidRDefault="00E56B73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4FE8FBA" w14:textId="77777777" w:rsidR="00E56B73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3. The identification of hazards in the work</w:t>
      </w:r>
      <w:r w:rsidR="00E56B73" w:rsidRPr="00343F3B">
        <w:rPr>
          <w:rFonts w:cs="ArialMT"/>
          <w:sz w:val="24"/>
          <w:szCs w:val="24"/>
        </w:rPr>
        <w:t>place should take into account:</w:t>
      </w:r>
    </w:p>
    <w:p w14:paraId="04DC8513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(a) the situation, event or combination of circumstances that has the</w:t>
      </w:r>
      <w:r w:rsidR="00E56B73" w:rsidRPr="00343F3B">
        <w:rPr>
          <w:rFonts w:cs="ArialMT"/>
          <w:sz w:val="24"/>
          <w:szCs w:val="24"/>
        </w:rPr>
        <w:t xml:space="preserve"> </w:t>
      </w:r>
      <w:r w:rsidRPr="00343F3B">
        <w:rPr>
          <w:rFonts w:cs="ArialMT"/>
          <w:sz w:val="24"/>
          <w:szCs w:val="24"/>
        </w:rPr>
        <w:t>potential to give rise to injury or illness;</w:t>
      </w:r>
    </w:p>
    <w:p w14:paraId="1AE9EDB7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1B5147B8" w14:textId="77777777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(b) the nature of potential injury or illness relevant to the activity,</w:t>
      </w:r>
      <w:r w:rsidR="0053731C" w:rsidRPr="00343F3B">
        <w:rPr>
          <w:rFonts w:cs="ArialMT"/>
          <w:sz w:val="24"/>
          <w:szCs w:val="24"/>
        </w:rPr>
        <w:t xml:space="preserve"> product or service; and</w:t>
      </w:r>
    </w:p>
    <w:p w14:paraId="18392734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63A1A2B2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(c) past injuries, incidents and illnesses.</w:t>
      </w:r>
    </w:p>
    <w:p w14:paraId="4AEB7854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6741D69" w14:textId="77777777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4. The identification process shall</w:t>
      </w:r>
      <w:r w:rsidR="0053731C" w:rsidRPr="00343F3B">
        <w:rPr>
          <w:rFonts w:cs="ArialMT"/>
          <w:sz w:val="24"/>
          <w:szCs w:val="24"/>
        </w:rPr>
        <w:t xml:space="preserve"> also include consideration of:</w:t>
      </w:r>
    </w:p>
    <w:p w14:paraId="6F991863" w14:textId="77777777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(a) the way work is organised, managed, carried out and any changes</w:t>
      </w:r>
      <w:r w:rsidR="0053731C" w:rsidRPr="00343F3B">
        <w:rPr>
          <w:rFonts w:cs="ArialMT"/>
          <w:sz w:val="24"/>
          <w:szCs w:val="24"/>
        </w:rPr>
        <w:t xml:space="preserve"> </w:t>
      </w:r>
      <w:r w:rsidRPr="00343F3B">
        <w:rPr>
          <w:rFonts w:cs="ArialMT"/>
          <w:sz w:val="24"/>
          <w:szCs w:val="24"/>
        </w:rPr>
        <w:t xml:space="preserve">that occur in this; </w:t>
      </w:r>
    </w:p>
    <w:p w14:paraId="5F498699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22BD8682" w14:textId="77777777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(b) the design of workplaces</w:t>
      </w:r>
      <w:r w:rsidR="0053731C" w:rsidRPr="00343F3B">
        <w:rPr>
          <w:rFonts w:cs="ArialMT"/>
          <w:sz w:val="24"/>
          <w:szCs w:val="24"/>
        </w:rPr>
        <w:t>, work processes, materials and equipment;</w:t>
      </w:r>
    </w:p>
    <w:p w14:paraId="5BDDE46B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6A90C9BD" w14:textId="77777777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(c) the installation, commissioning, hand</w:t>
      </w:r>
      <w:r w:rsidR="0053731C" w:rsidRPr="00343F3B">
        <w:rPr>
          <w:rFonts w:cs="ArialMT"/>
          <w:sz w:val="24"/>
          <w:szCs w:val="24"/>
        </w:rPr>
        <w:t>ling and disposal of materials, workplaces and equipment;</w:t>
      </w:r>
    </w:p>
    <w:p w14:paraId="4F9854F1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21FF7001" w14:textId="77777777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 xml:space="preserve">(d) the </w:t>
      </w:r>
      <w:r w:rsidR="0053731C" w:rsidRPr="00343F3B">
        <w:rPr>
          <w:rFonts w:cs="ArialMT"/>
          <w:sz w:val="24"/>
          <w:szCs w:val="24"/>
        </w:rPr>
        <w:t>purchase of goods and services;</w:t>
      </w:r>
    </w:p>
    <w:p w14:paraId="5F7890A8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2F526303" w14:textId="77777777" w:rsidR="0053731C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lastRenderedPageBreak/>
        <w:t>(e) the contracting of equipment, services and l</w:t>
      </w:r>
      <w:r w:rsidR="0053731C" w:rsidRPr="00343F3B">
        <w:rPr>
          <w:rFonts w:cs="ArialMT"/>
          <w:sz w:val="24"/>
          <w:szCs w:val="24"/>
        </w:rPr>
        <w:t xml:space="preserve">abour including contract </w:t>
      </w:r>
      <w:r w:rsidRPr="00343F3B">
        <w:rPr>
          <w:rFonts w:cs="ArialMT"/>
          <w:sz w:val="24"/>
          <w:szCs w:val="24"/>
        </w:rPr>
        <w:t>specification and responsibilities to and by contractors; and</w:t>
      </w:r>
      <w:r w:rsidR="0053731C" w:rsidRPr="00343F3B">
        <w:rPr>
          <w:rFonts w:cs="ArialMT"/>
          <w:sz w:val="24"/>
          <w:szCs w:val="24"/>
        </w:rPr>
        <w:t xml:space="preserve"> </w:t>
      </w:r>
    </w:p>
    <w:p w14:paraId="6C0EAFC9" w14:textId="77777777" w:rsidR="00562442" w:rsidRPr="00343F3B" w:rsidRDefault="00562442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06AD25BD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(f) the inspection, maintenance, tes</w:t>
      </w:r>
      <w:r w:rsidR="0053731C" w:rsidRPr="00343F3B">
        <w:rPr>
          <w:rFonts w:cs="ArialMT"/>
          <w:sz w:val="24"/>
          <w:szCs w:val="24"/>
        </w:rPr>
        <w:t xml:space="preserve">ting, repair and replacement of </w:t>
      </w:r>
      <w:r w:rsidRPr="00343F3B">
        <w:rPr>
          <w:rFonts w:cs="ArialMT"/>
          <w:sz w:val="24"/>
          <w:szCs w:val="24"/>
        </w:rPr>
        <w:t>equipment.</w:t>
      </w:r>
    </w:p>
    <w:p w14:paraId="3B8D6740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ABEE6CE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5. All Commission employees are expected</w:t>
      </w:r>
      <w:r w:rsidR="0053731C" w:rsidRPr="00343F3B">
        <w:rPr>
          <w:rFonts w:cs="ArialMT"/>
          <w:sz w:val="24"/>
          <w:szCs w:val="24"/>
        </w:rPr>
        <w:t xml:space="preserve"> to report hazards and take all practicable </w:t>
      </w:r>
      <w:r w:rsidRPr="00343F3B">
        <w:rPr>
          <w:rFonts w:cs="ArialMT"/>
          <w:sz w:val="24"/>
          <w:szCs w:val="24"/>
        </w:rPr>
        <w:t xml:space="preserve">steps to minimise the risk of </w:t>
      </w:r>
      <w:r w:rsidR="0053731C" w:rsidRPr="00343F3B">
        <w:rPr>
          <w:rFonts w:cs="ArialMT"/>
          <w:sz w:val="24"/>
          <w:szCs w:val="24"/>
        </w:rPr>
        <w:t xml:space="preserve">injury or illness. Any employee </w:t>
      </w:r>
      <w:r w:rsidRPr="00343F3B">
        <w:rPr>
          <w:rFonts w:cs="ArialMT"/>
          <w:sz w:val="24"/>
          <w:szCs w:val="24"/>
        </w:rPr>
        <w:t>identifying a haza</w:t>
      </w:r>
      <w:r w:rsidR="0053731C" w:rsidRPr="00343F3B">
        <w:rPr>
          <w:rFonts w:cs="ArialMT"/>
          <w:sz w:val="24"/>
          <w:szCs w:val="24"/>
        </w:rPr>
        <w:t xml:space="preserve">rd </w:t>
      </w:r>
      <w:r w:rsidRPr="00343F3B">
        <w:rPr>
          <w:rFonts w:cs="ArialMT"/>
          <w:sz w:val="24"/>
          <w:szCs w:val="24"/>
        </w:rPr>
        <w:t>should:</w:t>
      </w:r>
    </w:p>
    <w:p w14:paraId="48A93D89" w14:textId="77777777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(a) attempt (with due regard for their own safety) to immediately and</w:t>
      </w:r>
      <w:r w:rsidR="0053731C" w:rsidRPr="00343F3B">
        <w:rPr>
          <w:rFonts w:cs="ArialMT"/>
          <w:sz w:val="24"/>
          <w:szCs w:val="24"/>
        </w:rPr>
        <w:t xml:space="preserve"> </w:t>
      </w:r>
      <w:r w:rsidRPr="00343F3B">
        <w:rPr>
          <w:rFonts w:cs="ArialMT"/>
          <w:sz w:val="24"/>
          <w:szCs w:val="24"/>
        </w:rPr>
        <w:t xml:space="preserve">permanently rectify the hazard </w:t>
      </w:r>
      <w:r w:rsidR="0053731C" w:rsidRPr="00343F3B">
        <w:rPr>
          <w:rFonts w:cs="ArialMT"/>
          <w:sz w:val="24"/>
          <w:szCs w:val="24"/>
        </w:rPr>
        <w:t xml:space="preserve">and make the situation safe; or </w:t>
      </w:r>
    </w:p>
    <w:p w14:paraId="1FAA7C4D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6A6F4D0B" w14:textId="4ED04B03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(b) if this is not possible, to infor</w:t>
      </w:r>
      <w:r w:rsidR="0053731C" w:rsidRPr="00343F3B">
        <w:rPr>
          <w:rFonts w:cs="ArialMT"/>
          <w:sz w:val="24"/>
          <w:szCs w:val="24"/>
        </w:rPr>
        <w:t xml:space="preserve">m their Manager at the earliest </w:t>
      </w:r>
      <w:r w:rsidRPr="00343F3B">
        <w:rPr>
          <w:rFonts w:cs="ArialMT"/>
          <w:sz w:val="24"/>
          <w:szCs w:val="24"/>
        </w:rPr>
        <w:t xml:space="preserve">opportunity and complete a Hazard Alert </w:t>
      </w:r>
      <w:r w:rsidR="00562442">
        <w:rPr>
          <w:rFonts w:cs="ArialMT"/>
          <w:sz w:val="24"/>
          <w:szCs w:val="24"/>
        </w:rPr>
        <w:t>via the WinOSH portal.</w:t>
      </w:r>
    </w:p>
    <w:p w14:paraId="4AEB8C3E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96FF9EB" w14:textId="4FFC6AAA" w:rsidR="0053731C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6. Regular workplace inspections to id</w:t>
      </w:r>
      <w:r w:rsidR="0053731C" w:rsidRPr="00343F3B">
        <w:rPr>
          <w:rFonts w:cs="ArialMT"/>
          <w:sz w:val="24"/>
          <w:szCs w:val="24"/>
        </w:rPr>
        <w:t xml:space="preserve">entify any existing or emergent hazards must </w:t>
      </w:r>
      <w:r w:rsidRPr="00343F3B">
        <w:rPr>
          <w:rFonts w:cs="ArialMT"/>
          <w:sz w:val="24"/>
          <w:szCs w:val="24"/>
        </w:rPr>
        <w:t>be undertaken at least e</w:t>
      </w:r>
      <w:r w:rsidR="0053731C" w:rsidRPr="00343F3B">
        <w:rPr>
          <w:rFonts w:cs="ArialMT"/>
          <w:sz w:val="24"/>
          <w:szCs w:val="24"/>
        </w:rPr>
        <w:t xml:space="preserve">very three (3) months by an OSH Representative employing </w:t>
      </w:r>
      <w:r w:rsidRPr="00343F3B">
        <w:rPr>
          <w:rFonts w:cs="ArialMT"/>
          <w:sz w:val="24"/>
          <w:szCs w:val="24"/>
        </w:rPr>
        <w:t>a cust</w:t>
      </w:r>
      <w:r w:rsidR="00562442">
        <w:rPr>
          <w:rFonts w:cs="ArialMT"/>
          <w:sz w:val="24"/>
          <w:szCs w:val="24"/>
        </w:rPr>
        <w:t xml:space="preserve">omised, area-specific or hazard specific checklist </w:t>
      </w:r>
      <w:r w:rsidR="0053731C" w:rsidRPr="00343F3B">
        <w:rPr>
          <w:rFonts w:cs="ArialMT"/>
          <w:sz w:val="24"/>
          <w:szCs w:val="24"/>
        </w:rPr>
        <w:t>to record results.</w:t>
      </w:r>
    </w:p>
    <w:p w14:paraId="67D38C94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9C4EC4C" w14:textId="2194EB1A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7. Managers are responsible for ens</w:t>
      </w:r>
      <w:r w:rsidR="0053731C" w:rsidRPr="00343F3B">
        <w:rPr>
          <w:rFonts w:cs="ArialMT"/>
          <w:sz w:val="24"/>
          <w:szCs w:val="24"/>
        </w:rPr>
        <w:t xml:space="preserve">uring workplace inspections are </w:t>
      </w:r>
      <w:r w:rsidRPr="00343F3B">
        <w:rPr>
          <w:rFonts w:cs="ArialMT"/>
          <w:sz w:val="24"/>
          <w:szCs w:val="24"/>
        </w:rPr>
        <w:t>conducted and that where, as a result</w:t>
      </w:r>
      <w:r w:rsidR="0053731C" w:rsidRPr="00343F3B">
        <w:rPr>
          <w:rFonts w:cs="ArialMT"/>
          <w:sz w:val="24"/>
          <w:szCs w:val="24"/>
        </w:rPr>
        <w:t xml:space="preserve"> of conducting an inspection, a hazard is identified, that a </w:t>
      </w:r>
      <w:r w:rsidRPr="00343F3B">
        <w:rPr>
          <w:rFonts w:cs="ArialMT"/>
          <w:sz w:val="24"/>
          <w:szCs w:val="24"/>
        </w:rPr>
        <w:t>Hazard Alert</w:t>
      </w:r>
      <w:r w:rsidR="0053731C" w:rsidRPr="00343F3B">
        <w:rPr>
          <w:rFonts w:cs="ArialMT"/>
          <w:sz w:val="24"/>
          <w:szCs w:val="24"/>
        </w:rPr>
        <w:t xml:space="preserve"> is initiated and remedial </w:t>
      </w:r>
      <w:r w:rsidRPr="00343F3B">
        <w:rPr>
          <w:rFonts w:cs="ArialMT"/>
          <w:sz w:val="24"/>
          <w:szCs w:val="24"/>
        </w:rPr>
        <w:t>a</w:t>
      </w:r>
      <w:r w:rsidR="0053731C" w:rsidRPr="00343F3B">
        <w:rPr>
          <w:rFonts w:cs="ArialMT"/>
          <w:sz w:val="24"/>
          <w:szCs w:val="24"/>
        </w:rPr>
        <w:t xml:space="preserve">ction instigated, monitored and </w:t>
      </w:r>
      <w:r w:rsidRPr="00343F3B">
        <w:rPr>
          <w:rFonts w:cs="ArialMT"/>
          <w:sz w:val="24"/>
          <w:szCs w:val="24"/>
        </w:rPr>
        <w:t>reported.</w:t>
      </w:r>
    </w:p>
    <w:p w14:paraId="52A9F3FA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14:paraId="5D01ABE3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HAZARD ASSESSMENT</w:t>
      </w:r>
    </w:p>
    <w:p w14:paraId="242C1D27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B67140B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8. Where a hazard is identified, either as resul</w:t>
      </w:r>
      <w:r w:rsidR="0053731C" w:rsidRPr="00343F3B">
        <w:rPr>
          <w:rFonts w:cs="ArialMT"/>
          <w:sz w:val="24"/>
          <w:szCs w:val="24"/>
        </w:rPr>
        <w:t xml:space="preserve">t of an employee's notification or a </w:t>
      </w:r>
      <w:r w:rsidRPr="00343F3B">
        <w:rPr>
          <w:rFonts w:cs="ArialMT"/>
          <w:sz w:val="24"/>
          <w:szCs w:val="24"/>
        </w:rPr>
        <w:t>workplace inspection, the OSH Representative, employee an</w:t>
      </w:r>
      <w:r w:rsidR="0053731C" w:rsidRPr="00343F3B">
        <w:rPr>
          <w:rFonts w:cs="ArialMT"/>
          <w:sz w:val="24"/>
          <w:szCs w:val="24"/>
        </w:rPr>
        <w:t xml:space="preserve">d </w:t>
      </w:r>
      <w:r w:rsidRPr="00343F3B">
        <w:rPr>
          <w:rFonts w:cs="ArialMT"/>
          <w:sz w:val="24"/>
          <w:szCs w:val="24"/>
        </w:rPr>
        <w:t>relevant Manager is to discuss the hazard</w:t>
      </w:r>
      <w:r w:rsidR="0053731C" w:rsidRPr="00343F3B">
        <w:rPr>
          <w:rFonts w:cs="ArialMT"/>
          <w:sz w:val="24"/>
          <w:szCs w:val="24"/>
        </w:rPr>
        <w:t xml:space="preserve"> and conduct a risk assessment. It is the purpose of the risk </w:t>
      </w:r>
      <w:r w:rsidRPr="00343F3B">
        <w:rPr>
          <w:rFonts w:cs="ArialMT"/>
          <w:sz w:val="24"/>
          <w:szCs w:val="24"/>
        </w:rPr>
        <w:t>assessment t</w:t>
      </w:r>
      <w:r w:rsidR="0053731C" w:rsidRPr="00343F3B">
        <w:rPr>
          <w:rFonts w:cs="ArialMT"/>
          <w:sz w:val="24"/>
          <w:szCs w:val="24"/>
        </w:rPr>
        <w:t xml:space="preserve">o determine the severity of the </w:t>
      </w:r>
      <w:r w:rsidRPr="00343F3B">
        <w:rPr>
          <w:rFonts w:cs="ArialMT"/>
          <w:sz w:val="24"/>
          <w:szCs w:val="24"/>
        </w:rPr>
        <w:t>risk pose</w:t>
      </w:r>
      <w:r w:rsidR="0053731C" w:rsidRPr="00343F3B">
        <w:rPr>
          <w:rFonts w:cs="ArialMT"/>
          <w:sz w:val="24"/>
          <w:szCs w:val="24"/>
        </w:rPr>
        <w:t xml:space="preserve">d by the hazard and to assign a priority to its remediation and </w:t>
      </w:r>
      <w:r w:rsidRPr="00343F3B">
        <w:rPr>
          <w:rFonts w:cs="ArialMT"/>
          <w:sz w:val="24"/>
          <w:szCs w:val="24"/>
        </w:rPr>
        <w:t>control.</w:t>
      </w:r>
    </w:p>
    <w:p w14:paraId="4C78D0A6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51E9444C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9. As risk assessment is not an exact science</w:t>
      </w:r>
      <w:r w:rsidR="0053731C" w:rsidRPr="00343F3B">
        <w:rPr>
          <w:rFonts w:cs="ArialMT"/>
          <w:sz w:val="24"/>
          <w:szCs w:val="24"/>
        </w:rPr>
        <w:t xml:space="preserve">, discretion is to be used when </w:t>
      </w:r>
      <w:r w:rsidRPr="00343F3B">
        <w:rPr>
          <w:rFonts w:cs="ArialMT"/>
          <w:sz w:val="24"/>
          <w:szCs w:val="24"/>
        </w:rPr>
        <w:t>applying the risk assessment matr</w:t>
      </w:r>
      <w:r w:rsidR="0053731C" w:rsidRPr="00343F3B">
        <w:rPr>
          <w:rFonts w:cs="ArialMT"/>
          <w:sz w:val="24"/>
          <w:szCs w:val="24"/>
        </w:rPr>
        <w:t xml:space="preserve">ix. More than one person should </w:t>
      </w:r>
      <w:r w:rsidRPr="00343F3B">
        <w:rPr>
          <w:rFonts w:cs="ArialMT"/>
          <w:sz w:val="24"/>
          <w:szCs w:val="24"/>
        </w:rPr>
        <w:t>undertake a risk assessment and subs</w:t>
      </w:r>
      <w:r w:rsidR="0053731C" w:rsidRPr="00343F3B">
        <w:rPr>
          <w:rFonts w:cs="ArialMT"/>
          <w:sz w:val="24"/>
          <w:szCs w:val="24"/>
        </w:rPr>
        <w:t xml:space="preserve">equent consultation should take </w:t>
      </w:r>
      <w:r w:rsidRPr="00343F3B">
        <w:rPr>
          <w:rFonts w:cs="ArialMT"/>
          <w:sz w:val="24"/>
          <w:szCs w:val="24"/>
        </w:rPr>
        <w:t>place to determine the most appropri</w:t>
      </w:r>
      <w:r w:rsidR="0053731C" w:rsidRPr="00343F3B">
        <w:rPr>
          <w:rFonts w:cs="ArialMT"/>
          <w:sz w:val="24"/>
          <w:szCs w:val="24"/>
        </w:rPr>
        <w:t xml:space="preserve">ate action. As a general guide, </w:t>
      </w:r>
      <w:r w:rsidRPr="00343F3B">
        <w:rPr>
          <w:rFonts w:cs="ArialMT"/>
          <w:sz w:val="24"/>
          <w:szCs w:val="24"/>
        </w:rPr>
        <w:t>hazards which pose a:</w:t>
      </w:r>
    </w:p>
    <w:p w14:paraId="7CEE0933" w14:textId="77777777" w:rsidR="0053731C" w:rsidRPr="00343F3B" w:rsidRDefault="0053731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52E3D174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(a) 'Extreme' or 'High' risk is to be actioned as a matter of urgency.</w:t>
      </w:r>
    </w:p>
    <w:p w14:paraId="08E72696" w14:textId="77777777" w:rsidR="004634C3" w:rsidRPr="00343F3B" w:rsidRDefault="004634C3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6BFFAFF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 xml:space="preserve">(b) 'Moderate' risk is to be actioned as soon as possible. </w:t>
      </w:r>
    </w:p>
    <w:p w14:paraId="2E0CCC73" w14:textId="77777777" w:rsidR="004634C3" w:rsidRPr="00343F3B" w:rsidRDefault="004634C3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C0C1A04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(c) 'Low' risk is to be allocated a low priority and remediated as soon</w:t>
      </w:r>
      <w:r w:rsidR="004634C3" w:rsidRPr="00343F3B">
        <w:rPr>
          <w:rFonts w:cs="ArialMT"/>
          <w:sz w:val="24"/>
          <w:szCs w:val="24"/>
        </w:rPr>
        <w:t xml:space="preserve"> as </w:t>
      </w:r>
      <w:r w:rsidRPr="00343F3B">
        <w:rPr>
          <w:rFonts w:cs="ArialMT"/>
          <w:sz w:val="24"/>
          <w:szCs w:val="24"/>
        </w:rPr>
        <w:t>practicable.</w:t>
      </w:r>
    </w:p>
    <w:p w14:paraId="374ED4CF" w14:textId="77777777" w:rsidR="004634C3" w:rsidRPr="00343F3B" w:rsidRDefault="004634C3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6646DC5E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10. Once the outcome of the risk asse</w:t>
      </w:r>
      <w:r w:rsidR="004634C3" w:rsidRPr="00343F3B">
        <w:rPr>
          <w:rFonts w:cs="ArialMT"/>
          <w:sz w:val="24"/>
          <w:szCs w:val="24"/>
        </w:rPr>
        <w:t xml:space="preserve">ssment and recommended remedial </w:t>
      </w:r>
      <w:r w:rsidRPr="00343F3B">
        <w:rPr>
          <w:rFonts w:cs="ArialMT"/>
          <w:sz w:val="24"/>
          <w:szCs w:val="24"/>
        </w:rPr>
        <w:t>action has been determined it is to be rec</w:t>
      </w:r>
      <w:r w:rsidR="004634C3" w:rsidRPr="00343F3B">
        <w:rPr>
          <w:rFonts w:cs="ArialMT"/>
          <w:sz w:val="24"/>
          <w:szCs w:val="24"/>
        </w:rPr>
        <w:t xml:space="preserve">orded on the Hazard Alert Form. </w:t>
      </w:r>
      <w:r w:rsidRPr="00343F3B">
        <w:rPr>
          <w:rFonts w:cs="ArialMT"/>
          <w:sz w:val="24"/>
          <w:szCs w:val="24"/>
        </w:rPr>
        <w:t>The person responsible for undertaking rem</w:t>
      </w:r>
      <w:r w:rsidR="004634C3" w:rsidRPr="00343F3B">
        <w:rPr>
          <w:rFonts w:cs="ArialMT"/>
          <w:sz w:val="24"/>
          <w:szCs w:val="24"/>
        </w:rPr>
        <w:t xml:space="preserve">edial action must be identified and the time frame for </w:t>
      </w:r>
      <w:r w:rsidRPr="00343F3B">
        <w:rPr>
          <w:rFonts w:cs="ArialMT"/>
          <w:sz w:val="24"/>
          <w:szCs w:val="24"/>
        </w:rPr>
        <w:t>completion documented and monitored.</w:t>
      </w:r>
    </w:p>
    <w:p w14:paraId="4780F3D1" w14:textId="77777777" w:rsidR="000F14DD" w:rsidRPr="00343F3B" w:rsidRDefault="000F14DD" w:rsidP="00343F3B">
      <w:pPr>
        <w:jc w:val="both"/>
        <w:rPr>
          <w:rFonts w:cs="Arial-BoldMT"/>
          <w:b/>
          <w:bCs/>
          <w:sz w:val="24"/>
          <w:szCs w:val="24"/>
        </w:rPr>
      </w:pPr>
    </w:p>
    <w:p w14:paraId="1079EDA0" w14:textId="77777777" w:rsidR="00562442" w:rsidRDefault="00562442">
      <w:pPr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br w:type="page"/>
      </w:r>
    </w:p>
    <w:p w14:paraId="39166175" w14:textId="690C1B23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lastRenderedPageBreak/>
        <w:t>HAZARD CONTROL</w:t>
      </w:r>
    </w:p>
    <w:p w14:paraId="2AA598C0" w14:textId="77777777" w:rsidR="004634C3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11. Remedial action should be instigated comm</w:t>
      </w:r>
      <w:r w:rsidR="004634C3" w:rsidRPr="00343F3B">
        <w:rPr>
          <w:rFonts w:cs="ArialMT"/>
          <w:sz w:val="24"/>
          <w:szCs w:val="24"/>
        </w:rPr>
        <w:t xml:space="preserve">ensurate with the level of risk </w:t>
      </w:r>
      <w:r w:rsidRPr="00343F3B">
        <w:rPr>
          <w:rFonts w:cs="ArialMT"/>
          <w:sz w:val="24"/>
          <w:szCs w:val="24"/>
        </w:rPr>
        <w:t>identified and duly informed by reasonab</w:t>
      </w:r>
      <w:r w:rsidR="004634C3" w:rsidRPr="00343F3B">
        <w:rPr>
          <w:rFonts w:cs="ArialMT"/>
          <w:sz w:val="24"/>
          <w:szCs w:val="24"/>
        </w:rPr>
        <w:t xml:space="preserve">le practicality. Typically this includes the </w:t>
      </w:r>
      <w:r w:rsidRPr="00343F3B">
        <w:rPr>
          <w:rFonts w:cs="ArialMT"/>
          <w:sz w:val="24"/>
          <w:szCs w:val="24"/>
        </w:rPr>
        <w:t>application of one or more of the following controls (referred to</w:t>
      </w:r>
      <w:r w:rsidR="004634C3" w:rsidRPr="00343F3B">
        <w:rPr>
          <w:rFonts w:cs="ArialMT"/>
          <w:sz w:val="24"/>
          <w:szCs w:val="24"/>
        </w:rPr>
        <w:t xml:space="preserve"> as a 'hierarchy of </w:t>
      </w:r>
      <w:r w:rsidRPr="00343F3B">
        <w:rPr>
          <w:rFonts w:cs="ArialMT"/>
          <w:sz w:val="24"/>
          <w:szCs w:val="24"/>
        </w:rPr>
        <w:t>control') whereby the</w:t>
      </w:r>
      <w:r w:rsidR="004634C3" w:rsidRPr="00343F3B">
        <w:rPr>
          <w:rFonts w:cs="ArialMT"/>
          <w:sz w:val="24"/>
          <w:szCs w:val="24"/>
        </w:rPr>
        <w:t xml:space="preserve"> first is the preferred option: </w:t>
      </w:r>
    </w:p>
    <w:p w14:paraId="2DE1D006" w14:textId="77777777" w:rsidR="004634C3" w:rsidRPr="00343F3B" w:rsidRDefault="004634C3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AF63A97" w14:textId="77777777" w:rsidR="004634C3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(a) Elimination: e.g. certain practices or equipment may not be</w:t>
      </w:r>
      <w:r w:rsidR="004634C3" w:rsidRPr="00343F3B">
        <w:rPr>
          <w:rFonts w:cs="ArialMT"/>
          <w:sz w:val="24"/>
          <w:szCs w:val="24"/>
        </w:rPr>
        <w:t xml:space="preserve"> permitted for use. </w:t>
      </w:r>
    </w:p>
    <w:p w14:paraId="63328679" w14:textId="77777777" w:rsidR="004634C3" w:rsidRPr="00343F3B" w:rsidRDefault="004634C3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245DC512" w14:textId="77777777" w:rsidR="004634C3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(b) Substitution: e.g. some chemica</w:t>
      </w:r>
      <w:r w:rsidR="004634C3" w:rsidRPr="00343F3B">
        <w:rPr>
          <w:rFonts w:cs="ArialMT"/>
          <w:sz w:val="24"/>
          <w:szCs w:val="24"/>
        </w:rPr>
        <w:t>ls may be used in preference to other, more hazardous products.</w:t>
      </w:r>
    </w:p>
    <w:p w14:paraId="3C5E19B5" w14:textId="77777777" w:rsidR="004634C3" w:rsidRPr="00343F3B" w:rsidRDefault="004634C3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010D0A40" w14:textId="77777777" w:rsidR="00343F3B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(c) Isolation: e.g. remove a haza</w:t>
      </w:r>
      <w:r w:rsidR="004634C3" w:rsidRPr="00343F3B">
        <w:rPr>
          <w:rFonts w:cs="ArialMT"/>
          <w:sz w:val="24"/>
          <w:szCs w:val="24"/>
        </w:rPr>
        <w:t xml:space="preserve">rdous product from the working </w:t>
      </w:r>
      <w:r w:rsidRPr="00343F3B">
        <w:rPr>
          <w:rFonts w:cs="ArialMT"/>
          <w:sz w:val="24"/>
          <w:szCs w:val="24"/>
        </w:rPr>
        <w:t>environment a</w:t>
      </w:r>
      <w:r w:rsidR="00343F3B" w:rsidRPr="00343F3B">
        <w:rPr>
          <w:rFonts w:cs="ArialMT"/>
          <w:sz w:val="24"/>
          <w:szCs w:val="24"/>
        </w:rPr>
        <w:t xml:space="preserve">nd storing it in a secure area. </w:t>
      </w:r>
    </w:p>
    <w:p w14:paraId="6C4EF664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2C4F3C90" w14:textId="77777777" w:rsidR="00343F3B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(d) Engineering: e.g. the use of t</w:t>
      </w:r>
      <w:r w:rsidR="00343F3B" w:rsidRPr="00343F3B">
        <w:rPr>
          <w:rFonts w:cs="ArialMT"/>
          <w:sz w:val="24"/>
          <w:szCs w:val="24"/>
        </w:rPr>
        <w:t>rolleys for moving and carrying objects.</w:t>
      </w:r>
    </w:p>
    <w:p w14:paraId="76D3246B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1D292159" w14:textId="77777777" w:rsidR="00343F3B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(e) Administrative: e.g. procedures for r</w:t>
      </w:r>
      <w:r w:rsidR="00343F3B" w:rsidRPr="00343F3B">
        <w:rPr>
          <w:rFonts w:cs="ArialMT"/>
          <w:sz w:val="24"/>
          <w:szCs w:val="24"/>
        </w:rPr>
        <w:t xml:space="preserve">egular communication with staff </w:t>
      </w:r>
      <w:r w:rsidRPr="00343F3B">
        <w:rPr>
          <w:rFonts w:cs="ArialMT"/>
          <w:sz w:val="24"/>
          <w:szCs w:val="24"/>
        </w:rPr>
        <w:t>working al</w:t>
      </w:r>
      <w:r w:rsidR="00343F3B" w:rsidRPr="00343F3B">
        <w:rPr>
          <w:rFonts w:cs="ArialMT"/>
          <w:sz w:val="24"/>
          <w:szCs w:val="24"/>
        </w:rPr>
        <w:t>one or in high risk operations.</w:t>
      </w:r>
    </w:p>
    <w:p w14:paraId="4DF10C34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336DFB90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(f) Protective Equipment: e.g. the use of body protection.</w:t>
      </w:r>
    </w:p>
    <w:p w14:paraId="1D588088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14:paraId="6747A43D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t>EVALUATION</w:t>
      </w:r>
    </w:p>
    <w:p w14:paraId="4274B943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2F417E8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12. Once adequate and appropriate reme</w:t>
      </w:r>
      <w:r w:rsidR="00343F3B" w:rsidRPr="00343F3B">
        <w:rPr>
          <w:rFonts w:cs="ArialMT"/>
          <w:sz w:val="24"/>
          <w:szCs w:val="24"/>
        </w:rPr>
        <w:t xml:space="preserve">dial action has occurred a post action </w:t>
      </w:r>
      <w:r w:rsidRPr="00343F3B">
        <w:rPr>
          <w:rFonts w:cs="ArialMT"/>
          <w:sz w:val="24"/>
          <w:szCs w:val="24"/>
        </w:rPr>
        <w:t>evaluation must be performed to</w:t>
      </w:r>
      <w:r w:rsidR="00343F3B" w:rsidRPr="00343F3B">
        <w:rPr>
          <w:rFonts w:cs="ArialMT"/>
          <w:sz w:val="24"/>
          <w:szCs w:val="24"/>
        </w:rPr>
        <w:t xml:space="preserve"> ascertain the adequacy of this </w:t>
      </w:r>
      <w:r w:rsidRPr="00343F3B">
        <w:rPr>
          <w:rFonts w:cs="ArialMT"/>
          <w:sz w:val="24"/>
          <w:szCs w:val="24"/>
        </w:rPr>
        <w:t>action in eliminating or controllin</w:t>
      </w:r>
      <w:r w:rsidR="00343F3B" w:rsidRPr="00343F3B">
        <w:rPr>
          <w:rFonts w:cs="ArialMT"/>
          <w:sz w:val="24"/>
          <w:szCs w:val="24"/>
        </w:rPr>
        <w:t xml:space="preserve">g the hazard. To assist in this </w:t>
      </w:r>
      <w:r w:rsidRPr="00343F3B">
        <w:rPr>
          <w:rFonts w:cs="ArialMT"/>
          <w:sz w:val="24"/>
          <w:szCs w:val="24"/>
        </w:rPr>
        <w:t>determinatio</w:t>
      </w:r>
      <w:r w:rsidR="00343F3B" w:rsidRPr="00343F3B">
        <w:rPr>
          <w:rFonts w:cs="ArialMT"/>
          <w:sz w:val="24"/>
          <w:szCs w:val="24"/>
        </w:rPr>
        <w:t xml:space="preserve">n a residual risk assessment is to be conducted and, where </w:t>
      </w:r>
      <w:r w:rsidRPr="00343F3B">
        <w:rPr>
          <w:rFonts w:cs="ArialMT"/>
          <w:sz w:val="24"/>
          <w:szCs w:val="24"/>
        </w:rPr>
        <w:t>required, further action is to be identified.</w:t>
      </w:r>
    </w:p>
    <w:p w14:paraId="3945ED95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4AB83FD9" w14:textId="0BD33B4E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13. Results of the post action evaluation are</w:t>
      </w:r>
      <w:r w:rsidR="00343F3B" w:rsidRPr="00343F3B">
        <w:rPr>
          <w:rFonts w:cs="ArialMT"/>
          <w:sz w:val="24"/>
          <w:szCs w:val="24"/>
        </w:rPr>
        <w:t xml:space="preserve"> to be documented </w:t>
      </w:r>
      <w:r w:rsidR="00562442">
        <w:rPr>
          <w:rFonts w:cs="ArialMT"/>
          <w:sz w:val="24"/>
          <w:szCs w:val="24"/>
        </w:rPr>
        <w:t>within</w:t>
      </w:r>
      <w:r w:rsidR="00343F3B" w:rsidRPr="00343F3B">
        <w:rPr>
          <w:rFonts w:cs="ArialMT"/>
          <w:sz w:val="24"/>
          <w:szCs w:val="24"/>
        </w:rPr>
        <w:t xml:space="preserve"> </w:t>
      </w:r>
      <w:r w:rsidR="00562442">
        <w:rPr>
          <w:rFonts w:cs="ArialMT"/>
          <w:sz w:val="24"/>
          <w:szCs w:val="24"/>
        </w:rPr>
        <w:t>WinOSH</w:t>
      </w:r>
      <w:r w:rsidRPr="00343F3B">
        <w:rPr>
          <w:rFonts w:cs="ArialMT"/>
          <w:sz w:val="24"/>
          <w:szCs w:val="24"/>
        </w:rPr>
        <w:t xml:space="preserve"> by the </w:t>
      </w:r>
      <w:r w:rsidR="00562442">
        <w:rPr>
          <w:rFonts w:cs="ArialMT"/>
          <w:sz w:val="24"/>
          <w:szCs w:val="24"/>
        </w:rPr>
        <w:t xml:space="preserve">responsible </w:t>
      </w:r>
      <w:r w:rsidRPr="00343F3B">
        <w:rPr>
          <w:rFonts w:cs="ArialMT"/>
          <w:sz w:val="24"/>
          <w:szCs w:val="24"/>
        </w:rPr>
        <w:t xml:space="preserve">Manager to </w:t>
      </w:r>
      <w:r w:rsidR="00562442">
        <w:rPr>
          <w:rFonts w:cs="ArialMT"/>
          <w:sz w:val="24"/>
          <w:szCs w:val="24"/>
        </w:rPr>
        <w:t>document</w:t>
      </w:r>
      <w:r w:rsidR="00343F3B" w:rsidRPr="00343F3B">
        <w:rPr>
          <w:rFonts w:cs="ArialMT"/>
          <w:sz w:val="24"/>
          <w:szCs w:val="24"/>
        </w:rPr>
        <w:t xml:space="preserve"> that all remedial action has been </w:t>
      </w:r>
      <w:r w:rsidR="00562442">
        <w:rPr>
          <w:rFonts w:cs="ArialMT"/>
          <w:sz w:val="24"/>
          <w:szCs w:val="24"/>
        </w:rPr>
        <w:t>completed.</w:t>
      </w:r>
    </w:p>
    <w:p w14:paraId="1976560E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CourierNewPS-BoldMT"/>
          <w:b/>
          <w:bCs/>
          <w:sz w:val="24"/>
          <w:szCs w:val="24"/>
        </w:rPr>
      </w:pPr>
    </w:p>
    <w:p w14:paraId="6BD011FA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CourierNewPS-BoldMT"/>
          <w:b/>
          <w:bCs/>
          <w:sz w:val="24"/>
          <w:szCs w:val="24"/>
        </w:rPr>
      </w:pPr>
      <w:r w:rsidRPr="00343F3B">
        <w:rPr>
          <w:rFonts w:cs="CourierNewPS-BoldMT"/>
          <w:b/>
          <w:bCs/>
          <w:sz w:val="24"/>
          <w:szCs w:val="24"/>
        </w:rPr>
        <w:t>RECORDING AND REPORTING</w:t>
      </w:r>
    </w:p>
    <w:p w14:paraId="284E9B2F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AA41B2F" w14:textId="212B3B30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 xml:space="preserve">14. All information provided </w:t>
      </w:r>
      <w:r w:rsidR="00562442">
        <w:rPr>
          <w:rFonts w:cs="ArialMT"/>
          <w:sz w:val="24"/>
          <w:szCs w:val="24"/>
        </w:rPr>
        <w:t>via</w:t>
      </w:r>
      <w:r w:rsidRPr="00343F3B">
        <w:rPr>
          <w:rFonts w:cs="ArialMT"/>
          <w:sz w:val="24"/>
          <w:szCs w:val="24"/>
        </w:rPr>
        <w:t xml:space="preserve"> the </w:t>
      </w:r>
      <w:r w:rsidR="00562442">
        <w:rPr>
          <w:rFonts w:cs="ArialMT"/>
          <w:sz w:val="24"/>
          <w:szCs w:val="24"/>
        </w:rPr>
        <w:t xml:space="preserve">online </w:t>
      </w:r>
      <w:r w:rsidRPr="00343F3B">
        <w:rPr>
          <w:rFonts w:cs="ArialMT"/>
          <w:sz w:val="24"/>
          <w:szCs w:val="24"/>
        </w:rPr>
        <w:t xml:space="preserve">Hazard Alert </w:t>
      </w:r>
      <w:r w:rsidR="00562442">
        <w:rPr>
          <w:rFonts w:cs="ArialMT"/>
          <w:sz w:val="24"/>
          <w:szCs w:val="24"/>
        </w:rPr>
        <w:t>report in WinOSH will automatically</w:t>
      </w:r>
      <w:r w:rsidRPr="00343F3B">
        <w:rPr>
          <w:rFonts w:cs="ArialMT"/>
          <w:sz w:val="24"/>
          <w:szCs w:val="24"/>
        </w:rPr>
        <w:t xml:space="preserve"> be entere</w:t>
      </w:r>
      <w:r w:rsidR="00343F3B" w:rsidRPr="00343F3B">
        <w:rPr>
          <w:rFonts w:cs="ArialMT"/>
          <w:sz w:val="24"/>
          <w:szCs w:val="24"/>
        </w:rPr>
        <w:t xml:space="preserve">d into the </w:t>
      </w:r>
      <w:r w:rsidRPr="00343F3B">
        <w:rPr>
          <w:rFonts w:cs="ArialMT"/>
          <w:sz w:val="24"/>
          <w:szCs w:val="24"/>
        </w:rPr>
        <w:t xml:space="preserve">Hazard Register, </w:t>
      </w:r>
      <w:r w:rsidR="00FD3583">
        <w:rPr>
          <w:rFonts w:cs="ArialMT"/>
          <w:sz w:val="24"/>
          <w:szCs w:val="24"/>
        </w:rPr>
        <w:t>also included in WinOSH</w:t>
      </w:r>
      <w:r w:rsidR="00343F3B" w:rsidRPr="00343F3B">
        <w:rPr>
          <w:rFonts w:cs="ArialMT"/>
          <w:sz w:val="24"/>
          <w:szCs w:val="24"/>
        </w:rPr>
        <w:t xml:space="preserve">, and retained according to the Commission's record </w:t>
      </w:r>
      <w:r w:rsidRPr="00343F3B">
        <w:rPr>
          <w:rFonts w:cs="ArialMT"/>
          <w:sz w:val="24"/>
          <w:szCs w:val="24"/>
        </w:rPr>
        <w:t>management policy.</w:t>
      </w:r>
    </w:p>
    <w:p w14:paraId="34B3D45C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1E691AE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 xml:space="preserve">15. </w:t>
      </w:r>
      <w:commentRangeStart w:id="0"/>
      <w:r w:rsidRPr="00343F3B">
        <w:rPr>
          <w:rFonts w:cs="ArialMT"/>
          <w:sz w:val="24"/>
          <w:szCs w:val="24"/>
        </w:rPr>
        <w:t xml:space="preserve">People and Business </w:t>
      </w:r>
      <w:r w:rsidR="00343F3B" w:rsidRPr="00343F3B">
        <w:rPr>
          <w:rFonts w:cs="ArialMT"/>
          <w:sz w:val="24"/>
          <w:szCs w:val="24"/>
        </w:rPr>
        <w:t>Services</w:t>
      </w:r>
      <w:r w:rsidRPr="00343F3B">
        <w:rPr>
          <w:rFonts w:cs="ArialMT"/>
          <w:sz w:val="24"/>
          <w:szCs w:val="24"/>
        </w:rPr>
        <w:t xml:space="preserve"> are the custodian of the Hazard Register.</w:t>
      </w:r>
      <w:commentRangeEnd w:id="0"/>
      <w:r w:rsidR="00FD3583">
        <w:rPr>
          <w:rStyle w:val="CommentReference"/>
        </w:rPr>
        <w:commentReference w:id="0"/>
      </w:r>
    </w:p>
    <w:p w14:paraId="356FAC42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1830371F" w14:textId="77777777" w:rsidR="000F14DD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 xml:space="preserve">16. </w:t>
      </w:r>
      <w:r w:rsidR="000F14DD" w:rsidRPr="00343F3B">
        <w:rPr>
          <w:rFonts w:cs="ArialMT"/>
          <w:sz w:val="24"/>
          <w:szCs w:val="24"/>
        </w:rPr>
        <w:t>The Commission's Hazard Register records:</w:t>
      </w:r>
    </w:p>
    <w:p w14:paraId="0CBF5D42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the date the hazard was identified;</w:t>
      </w:r>
    </w:p>
    <w:p w14:paraId="24695AE9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the OSH Representative notified;</w:t>
      </w:r>
    </w:p>
    <w:p w14:paraId="78D15D61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a description of the hazard;</w:t>
      </w:r>
      <w:bookmarkStart w:id="1" w:name="_GoBack"/>
      <w:bookmarkEnd w:id="1"/>
    </w:p>
    <w:p w14:paraId="12F8500C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the severity of the risk;</w:t>
      </w:r>
    </w:p>
    <w:p w14:paraId="5B238EEF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responsibility for, and the nature of, remedial action; and</w:t>
      </w:r>
    </w:p>
    <w:p w14:paraId="7E2F57F6" w14:textId="77777777" w:rsidR="00343F3B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• th</w:t>
      </w:r>
      <w:r w:rsidR="00343F3B" w:rsidRPr="00343F3B">
        <w:rPr>
          <w:rFonts w:cs="ArialMT"/>
          <w:sz w:val="24"/>
          <w:szCs w:val="24"/>
        </w:rPr>
        <w:t>e date the hazard was resolved.</w:t>
      </w:r>
    </w:p>
    <w:p w14:paraId="794E8335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540C786C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lastRenderedPageBreak/>
        <w:t>This information forms the basis of hazard reporting</w:t>
      </w:r>
      <w:r w:rsidR="00343F3B" w:rsidRPr="00343F3B">
        <w:rPr>
          <w:rFonts w:cs="ArialMT"/>
          <w:sz w:val="24"/>
          <w:szCs w:val="24"/>
        </w:rPr>
        <w:t xml:space="preserve"> to the Commission's </w:t>
      </w:r>
      <w:r w:rsidRPr="00343F3B">
        <w:rPr>
          <w:rFonts w:cs="ArialMT"/>
          <w:sz w:val="24"/>
          <w:szCs w:val="24"/>
        </w:rPr>
        <w:t>Occupational Safety and Health Planning Advisory Group (OSHPAG).</w:t>
      </w:r>
    </w:p>
    <w:p w14:paraId="7D749DEC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7DDB6D01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17. OSH Representatives are to provide OSHPAG with:</w:t>
      </w:r>
    </w:p>
    <w:p w14:paraId="65F1AC62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036F1089" w14:textId="77777777" w:rsidR="00343F3B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(a) a brief summary of actions arising from the identification and</w:t>
      </w:r>
      <w:r w:rsidR="00343F3B" w:rsidRPr="00343F3B">
        <w:rPr>
          <w:rFonts w:cs="ArialMT"/>
          <w:sz w:val="24"/>
          <w:szCs w:val="24"/>
        </w:rPr>
        <w:t xml:space="preserve"> subsequent </w:t>
      </w:r>
      <w:r w:rsidRPr="00343F3B">
        <w:rPr>
          <w:rFonts w:cs="ArialMT"/>
          <w:sz w:val="24"/>
          <w:szCs w:val="24"/>
        </w:rPr>
        <w:t>elimination or cont</w:t>
      </w:r>
      <w:r w:rsidR="00343F3B" w:rsidRPr="00343F3B">
        <w:rPr>
          <w:rFonts w:cs="ArialMT"/>
          <w:sz w:val="24"/>
          <w:szCs w:val="24"/>
        </w:rPr>
        <w:t>rol of an individual hazard(s);</w:t>
      </w:r>
    </w:p>
    <w:p w14:paraId="56D9FE95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0408776B" w14:textId="77777777" w:rsidR="00343F3B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(b) information pertaining to those</w:t>
      </w:r>
      <w:r w:rsidR="00343F3B" w:rsidRPr="00343F3B">
        <w:rPr>
          <w:rFonts w:cs="ArialMT"/>
          <w:sz w:val="24"/>
          <w:szCs w:val="24"/>
        </w:rPr>
        <w:t xml:space="preserve"> hazards where action cannot be determined or actioned; and</w:t>
      </w:r>
    </w:p>
    <w:p w14:paraId="53D9FCD1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</w:p>
    <w:p w14:paraId="6CC4B990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(c) reports pertaining to the ad</w:t>
      </w:r>
      <w:r w:rsidR="00343F3B" w:rsidRPr="00343F3B">
        <w:rPr>
          <w:rFonts w:cs="ArialMT"/>
          <w:sz w:val="24"/>
          <w:szCs w:val="24"/>
        </w:rPr>
        <w:t xml:space="preserve">equacy of the hazard management </w:t>
      </w:r>
      <w:r w:rsidRPr="00343F3B">
        <w:rPr>
          <w:rFonts w:cs="ArialMT"/>
          <w:sz w:val="24"/>
          <w:szCs w:val="24"/>
        </w:rPr>
        <w:t>process across the Commission a</w:t>
      </w:r>
      <w:r w:rsidR="00343F3B" w:rsidRPr="00343F3B">
        <w:rPr>
          <w:rFonts w:cs="ArialMT"/>
          <w:sz w:val="24"/>
          <w:szCs w:val="24"/>
        </w:rPr>
        <w:t xml:space="preserve">nd, more specifically, progress made against OSH </w:t>
      </w:r>
      <w:r w:rsidRPr="00343F3B">
        <w:rPr>
          <w:rFonts w:cs="ArialMT"/>
          <w:sz w:val="24"/>
          <w:szCs w:val="24"/>
        </w:rPr>
        <w:t>pe</w:t>
      </w:r>
      <w:r w:rsidR="00343F3B" w:rsidRPr="00343F3B">
        <w:rPr>
          <w:rFonts w:cs="ArialMT"/>
          <w:sz w:val="24"/>
          <w:szCs w:val="24"/>
        </w:rPr>
        <w:t xml:space="preserve">rformance indicators as per the </w:t>
      </w:r>
      <w:r w:rsidRPr="00343F3B">
        <w:rPr>
          <w:rFonts w:cs="ArialMT"/>
          <w:sz w:val="24"/>
          <w:szCs w:val="24"/>
        </w:rPr>
        <w:t>Co</w:t>
      </w:r>
      <w:r w:rsidR="00343F3B" w:rsidRPr="00343F3B">
        <w:rPr>
          <w:rFonts w:cs="ArialMT"/>
          <w:sz w:val="24"/>
          <w:szCs w:val="24"/>
        </w:rPr>
        <w:t xml:space="preserve">mmission's OSH Plan, noting the number and location of </w:t>
      </w:r>
      <w:r w:rsidRPr="00343F3B">
        <w:rPr>
          <w:rFonts w:cs="ArialMT"/>
          <w:sz w:val="24"/>
          <w:szCs w:val="24"/>
        </w:rPr>
        <w:t>hazards identified, w</w:t>
      </w:r>
      <w:r w:rsidR="00343F3B" w:rsidRPr="00343F3B">
        <w:rPr>
          <w:rFonts w:cs="ArialMT"/>
          <w:sz w:val="24"/>
          <w:szCs w:val="24"/>
        </w:rPr>
        <w:t xml:space="preserve">hether remedial action has been undertaken </w:t>
      </w:r>
      <w:r w:rsidRPr="00343F3B">
        <w:rPr>
          <w:rFonts w:cs="ArialMT"/>
          <w:sz w:val="24"/>
          <w:szCs w:val="24"/>
        </w:rPr>
        <w:t>and the outcome of post-action evaluation.</w:t>
      </w:r>
    </w:p>
    <w:p w14:paraId="520FA8C5" w14:textId="77777777" w:rsidR="00343F3B" w:rsidRPr="00343F3B" w:rsidRDefault="00343F3B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3DCA774A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t>18. OSHPAG is to complete an annual revie</w:t>
      </w:r>
      <w:r w:rsidR="00343F3B" w:rsidRPr="00343F3B">
        <w:rPr>
          <w:rFonts w:cs="ArialMT"/>
          <w:sz w:val="24"/>
          <w:szCs w:val="24"/>
        </w:rPr>
        <w:t xml:space="preserve">w of the hazard identification, </w:t>
      </w:r>
      <w:r w:rsidRPr="00343F3B">
        <w:rPr>
          <w:rFonts w:cs="ArialMT"/>
          <w:sz w:val="24"/>
          <w:szCs w:val="24"/>
        </w:rPr>
        <w:t>assessment and control process to ensure</w:t>
      </w:r>
      <w:r w:rsidR="00343F3B" w:rsidRPr="00343F3B">
        <w:rPr>
          <w:rFonts w:cs="ArialMT"/>
          <w:sz w:val="24"/>
          <w:szCs w:val="24"/>
        </w:rPr>
        <w:t xml:space="preserve"> standards are being maintained and that </w:t>
      </w:r>
      <w:r w:rsidRPr="00343F3B">
        <w:rPr>
          <w:rFonts w:cs="ArialMT"/>
          <w:sz w:val="24"/>
          <w:szCs w:val="24"/>
        </w:rPr>
        <w:t>the systems are subject to continuous improvement.</w:t>
      </w:r>
    </w:p>
    <w:p w14:paraId="1B4F370A" w14:textId="77777777" w:rsidR="000F14DD" w:rsidRPr="00343F3B" w:rsidRDefault="000F14DD" w:rsidP="00343F3B">
      <w:pPr>
        <w:jc w:val="both"/>
        <w:rPr>
          <w:rFonts w:cs="ArialMT"/>
          <w:sz w:val="24"/>
          <w:szCs w:val="24"/>
        </w:rPr>
      </w:pPr>
      <w:r w:rsidRPr="00343F3B">
        <w:rPr>
          <w:rFonts w:cs="ArialMT"/>
          <w:sz w:val="24"/>
          <w:szCs w:val="24"/>
        </w:rPr>
        <w:br w:type="page"/>
      </w:r>
    </w:p>
    <w:p w14:paraId="48FF365A" w14:textId="77777777" w:rsidR="000F14DD" w:rsidRPr="00343F3B" w:rsidRDefault="000F14DD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343F3B">
        <w:rPr>
          <w:rFonts w:cs="Arial-BoldMT"/>
          <w:b/>
          <w:bCs/>
          <w:sz w:val="24"/>
          <w:szCs w:val="24"/>
        </w:rPr>
        <w:lastRenderedPageBreak/>
        <w:t>DEFINITIONS</w:t>
      </w:r>
    </w:p>
    <w:p w14:paraId="01D4EB9F" w14:textId="77777777" w:rsidR="0008655C" w:rsidRPr="00343F3B" w:rsidRDefault="0008655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655C" w:rsidRPr="00343F3B" w14:paraId="2ED2D927" w14:textId="77777777" w:rsidTr="0008655C">
        <w:tc>
          <w:tcPr>
            <w:tcW w:w="4621" w:type="dxa"/>
          </w:tcPr>
          <w:p w14:paraId="605FECD4" w14:textId="77777777" w:rsidR="0008655C" w:rsidRPr="00343F3B" w:rsidRDefault="0008655C" w:rsidP="00343F3B">
            <w:pPr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ab/>
              <w:t>Term</w:t>
            </w:r>
          </w:p>
        </w:tc>
        <w:tc>
          <w:tcPr>
            <w:tcW w:w="4621" w:type="dxa"/>
          </w:tcPr>
          <w:p w14:paraId="5B0D7874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Definition</w:t>
            </w:r>
          </w:p>
        </w:tc>
      </w:tr>
      <w:tr w:rsidR="0008655C" w:rsidRPr="00343F3B" w14:paraId="5D6090EB" w14:textId="77777777" w:rsidTr="0008655C">
        <w:tc>
          <w:tcPr>
            <w:tcW w:w="4621" w:type="dxa"/>
          </w:tcPr>
          <w:p w14:paraId="69E16CEE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Hazard</w:t>
            </w:r>
          </w:p>
          <w:p w14:paraId="081CD668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55A157E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A source or a situation with a potential for harm in terms of injury, ill-health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, </w:t>
            </w:r>
            <w:r w:rsidRPr="00343F3B">
              <w:rPr>
                <w:rFonts w:cs="ArialMT"/>
                <w:sz w:val="24"/>
                <w:szCs w:val="24"/>
              </w:rPr>
              <w:t>damage to property, damage to the environment, or a combination of these.</w:t>
            </w:r>
          </w:p>
          <w:p w14:paraId="7BF76813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08655C" w:rsidRPr="00343F3B" w14:paraId="11D35295" w14:textId="77777777" w:rsidTr="0008655C">
        <w:tc>
          <w:tcPr>
            <w:tcW w:w="4621" w:type="dxa"/>
          </w:tcPr>
          <w:p w14:paraId="5CA4767D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Hazard Alert Form</w:t>
            </w:r>
          </w:p>
          <w:p w14:paraId="2C628190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A113738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Commission form that must be completed when a hazard is identified.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 </w:t>
            </w:r>
            <w:r w:rsidRPr="00343F3B">
              <w:rPr>
                <w:rFonts w:cs="ArialMT"/>
                <w:sz w:val="24"/>
                <w:szCs w:val="24"/>
              </w:rPr>
              <w:t>Records the details of th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e hazard, consultation held and responsibility </w:t>
            </w:r>
            <w:r w:rsidRPr="00343F3B">
              <w:rPr>
                <w:rFonts w:cs="ArialMT"/>
                <w:sz w:val="24"/>
                <w:szCs w:val="24"/>
              </w:rPr>
              <w:t>and timeframe governing remedial action.</w:t>
            </w:r>
          </w:p>
          <w:p w14:paraId="61804B3D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08655C" w:rsidRPr="00343F3B" w14:paraId="56091CF3" w14:textId="77777777" w:rsidTr="0008655C">
        <w:tc>
          <w:tcPr>
            <w:tcW w:w="4621" w:type="dxa"/>
          </w:tcPr>
          <w:p w14:paraId="7313D56C" w14:textId="77777777" w:rsidR="0008655C" w:rsidRPr="00343F3B" w:rsidRDefault="007A2516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 xml:space="preserve">Improvement </w:t>
            </w:r>
            <w:r w:rsidR="0008655C" w:rsidRPr="00343F3B">
              <w:rPr>
                <w:rFonts w:cs="ArialMT"/>
                <w:sz w:val="24"/>
                <w:szCs w:val="24"/>
              </w:rPr>
              <w:t>Notice</w:t>
            </w:r>
          </w:p>
          <w:p w14:paraId="5AEF9262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3CFA713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 xml:space="preserve">Where a contravention of the OSH Act has 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occurred or is likely to occur, </w:t>
            </w:r>
            <w:r w:rsidRPr="00343F3B">
              <w:rPr>
                <w:rFonts w:cs="ArialMT"/>
                <w:sz w:val="24"/>
                <w:szCs w:val="24"/>
              </w:rPr>
              <w:t xml:space="preserve">an inspector may issue 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an improvement notice requiring remedy of the </w:t>
            </w:r>
            <w:r w:rsidRPr="00343F3B">
              <w:rPr>
                <w:rFonts w:cs="ArialMT"/>
                <w:sz w:val="24"/>
                <w:szCs w:val="24"/>
              </w:rPr>
              <w:t>contravention. Reference is made to Part 6 of the OSH Act.</w:t>
            </w:r>
          </w:p>
          <w:p w14:paraId="404945D7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08655C" w:rsidRPr="00343F3B" w14:paraId="4C021E87" w14:textId="77777777" w:rsidTr="0008655C">
        <w:tc>
          <w:tcPr>
            <w:tcW w:w="4621" w:type="dxa"/>
          </w:tcPr>
          <w:p w14:paraId="36A879EF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OSHPAG</w:t>
            </w:r>
          </w:p>
          <w:p w14:paraId="785A8FA0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544EA1B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The Commi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ssion's Occupational Safety and Health Planning Advisory </w:t>
            </w:r>
            <w:r w:rsidRPr="00343F3B">
              <w:rPr>
                <w:rFonts w:cs="ArialMT"/>
                <w:sz w:val="24"/>
                <w:szCs w:val="24"/>
              </w:rPr>
              <w:t xml:space="preserve">Group consisting of duly 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elected OSH representatives and </w:t>
            </w:r>
            <w:r w:rsidRPr="00343F3B">
              <w:rPr>
                <w:rFonts w:cs="ArialMT"/>
                <w:sz w:val="24"/>
                <w:szCs w:val="24"/>
              </w:rPr>
              <w:t>Com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mission Officers responsible for the </w:t>
            </w:r>
            <w:r w:rsidRPr="00343F3B">
              <w:rPr>
                <w:rFonts w:cs="ArialMT"/>
                <w:sz w:val="24"/>
                <w:szCs w:val="24"/>
              </w:rPr>
              <w:t>gover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nance and implementation of the </w:t>
            </w:r>
            <w:r w:rsidRPr="00343F3B">
              <w:rPr>
                <w:rFonts w:cs="ArialMT"/>
                <w:sz w:val="24"/>
                <w:szCs w:val="24"/>
              </w:rPr>
              <w:t>Comm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ission's OSH Management System. Provide a forum for consultation and </w:t>
            </w:r>
            <w:r w:rsidRPr="00343F3B">
              <w:rPr>
                <w:rFonts w:cs="ArialMT"/>
                <w:sz w:val="24"/>
                <w:szCs w:val="24"/>
              </w:rPr>
              <w:t>coopera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tion between the Commission and </w:t>
            </w:r>
            <w:r w:rsidRPr="00343F3B">
              <w:rPr>
                <w:rFonts w:cs="ArialMT"/>
                <w:sz w:val="24"/>
                <w:szCs w:val="24"/>
              </w:rPr>
              <w:t>Commission employees.</w:t>
            </w:r>
          </w:p>
          <w:p w14:paraId="7FD5E6BF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08655C" w:rsidRPr="00343F3B" w14:paraId="5D743FE1" w14:textId="77777777" w:rsidTr="0008655C">
        <w:tc>
          <w:tcPr>
            <w:tcW w:w="4621" w:type="dxa"/>
          </w:tcPr>
          <w:p w14:paraId="085A05AD" w14:textId="77777777" w:rsidR="0008655C" w:rsidRPr="00343F3B" w:rsidRDefault="007A2516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 xml:space="preserve">Prohibition </w:t>
            </w:r>
            <w:r w:rsidR="0008655C" w:rsidRPr="00343F3B">
              <w:rPr>
                <w:rFonts w:cs="ArialMT"/>
                <w:sz w:val="24"/>
                <w:szCs w:val="24"/>
              </w:rPr>
              <w:t>Notice</w:t>
            </w:r>
          </w:p>
          <w:p w14:paraId="00986F28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2ECF292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 xml:space="preserve">Prohibits the carrying on of 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a given activity (deemed to be occurring in a manner risking </w:t>
            </w:r>
            <w:r w:rsidRPr="00343F3B">
              <w:rPr>
                <w:rFonts w:cs="ArialMT"/>
                <w:sz w:val="24"/>
                <w:szCs w:val="24"/>
              </w:rPr>
              <w:t>imminent and seri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ous harm to employee health and safety) until an inspector is </w:t>
            </w:r>
            <w:r w:rsidRPr="00343F3B">
              <w:rPr>
                <w:rFonts w:cs="ArialMT"/>
                <w:sz w:val="24"/>
                <w:szCs w:val="24"/>
              </w:rPr>
              <w:t>satisfied that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 the matters which give rise to </w:t>
            </w:r>
            <w:r w:rsidRPr="00343F3B">
              <w:rPr>
                <w:rFonts w:cs="ArialMT"/>
                <w:sz w:val="24"/>
                <w:szCs w:val="24"/>
              </w:rPr>
              <w:t>the risk are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 remedied. Reference is made to </w:t>
            </w:r>
            <w:r w:rsidRPr="00343F3B">
              <w:rPr>
                <w:rFonts w:cs="ArialMT"/>
                <w:sz w:val="24"/>
                <w:szCs w:val="24"/>
              </w:rPr>
              <w:t>Part 6 of the OSH Act.</w:t>
            </w:r>
          </w:p>
          <w:p w14:paraId="0722CF38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08655C" w:rsidRPr="00343F3B" w14:paraId="2B614914" w14:textId="77777777" w:rsidTr="0008655C">
        <w:tc>
          <w:tcPr>
            <w:tcW w:w="4621" w:type="dxa"/>
          </w:tcPr>
          <w:p w14:paraId="4FC37ED8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Ris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k </w:t>
            </w:r>
            <w:r w:rsidRPr="00343F3B">
              <w:rPr>
                <w:rFonts w:cs="ArialMT"/>
                <w:sz w:val="24"/>
                <w:szCs w:val="24"/>
              </w:rPr>
              <w:t>Assessment</w:t>
            </w:r>
          </w:p>
          <w:p w14:paraId="19E5F1B9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577041A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The systema</w:t>
            </w:r>
            <w:r w:rsidR="007A2516" w:rsidRPr="00343F3B">
              <w:rPr>
                <w:rFonts w:cs="ArialMT"/>
                <w:sz w:val="24"/>
                <w:szCs w:val="24"/>
              </w:rPr>
              <w:t xml:space="preserve">tic process of establishing the identifying, analysing, evaluating, treating, </w:t>
            </w:r>
            <w:r w:rsidRPr="00343F3B">
              <w:rPr>
                <w:rFonts w:cs="ArialMT"/>
                <w:sz w:val="24"/>
                <w:szCs w:val="24"/>
              </w:rPr>
              <w:t>monitoring and reviewing of risk.</w:t>
            </w:r>
          </w:p>
          <w:p w14:paraId="61E50E45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08655C" w:rsidRPr="00343F3B" w14:paraId="0A960D15" w14:textId="77777777" w:rsidTr="0008655C">
        <w:tc>
          <w:tcPr>
            <w:tcW w:w="4621" w:type="dxa"/>
          </w:tcPr>
          <w:p w14:paraId="4E3D6034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Risk Assessment Matrix</w:t>
            </w:r>
          </w:p>
          <w:p w14:paraId="23A07FDD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5F55F403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  <w:p w14:paraId="7F7EEFCD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3C28E13" w14:textId="77777777" w:rsidR="007A2516" w:rsidRPr="00343F3B" w:rsidRDefault="007A2516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Enables assessment of a risk in regard to likelihood and consequence to determine a level of risk and inform priority of remedial action required.</w:t>
            </w:r>
          </w:p>
          <w:p w14:paraId="19D13975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08655C" w:rsidRPr="00343F3B" w14:paraId="5A8A634A" w14:textId="77777777" w:rsidTr="004A02DF">
        <w:tc>
          <w:tcPr>
            <w:tcW w:w="4621" w:type="dxa"/>
          </w:tcPr>
          <w:p w14:paraId="39808E5C" w14:textId="77777777" w:rsidR="007A2516" w:rsidRPr="00343F3B" w:rsidRDefault="007A2516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lastRenderedPageBreak/>
              <w:t>WorkSafe Inspector</w:t>
            </w:r>
          </w:p>
          <w:p w14:paraId="13E22DF3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709848A" w14:textId="77777777" w:rsidR="007A2516" w:rsidRPr="00343F3B" w:rsidRDefault="007A2516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  <w:r w:rsidRPr="00343F3B">
              <w:rPr>
                <w:rFonts w:cs="ArialMT"/>
                <w:sz w:val="24"/>
                <w:szCs w:val="24"/>
              </w:rPr>
              <w:t>Inspector employed by WorkSafe WA with the delegated authority to enter a workplace, make inspections, issue notices and direct remedial action as defined in the OSH Act.</w:t>
            </w:r>
          </w:p>
          <w:p w14:paraId="732E83FD" w14:textId="77777777" w:rsidR="0008655C" w:rsidRPr="00343F3B" w:rsidRDefault="0008655C" w:rsidP="00343F3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14:paraId="0A0FFAC2" w14:textId="77777777" w:rsidR="0008655C" w:rsidRPr="00343F3B" w:rsidRDefault="0008655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22139508" w14:textId="77777777" w:rsidR="0008655C" w:rsidRPr="00343F3B" w:rsidRDefault="0008655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449225B" w14:textId="77777777" w:rsidR="0008655C" w:rsidRPr="00343F3B" w:rsidRDefault="0008655C" w:rsidP="00343F3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14:paraId="64B7DDB7" w14:textId="77777777" w:rsidR="000F14DD" w:rsidRPr="00343F3B" w:rsidRDefault="000F14DD" w:rsidP="00343F3B">
      <w:pPr>
        <w:jc w:val="both"/>
        <w:rPr>
          <w:sz w:val="24"/>
          <w:szCs w:val="24"/>
        </w:rPr>
      </w:pPr>
    </w:p>
    <w:sectPr w:rsidR="000F14DD" w:rsidRPr="0034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 De Barr" w:date="2017-10-12T12:48:00Z" w:initials="ADB">
    <w:p w14:paraId="60350481" w14:textId="6A3A3747" w:rsidR="00FD3583" w:rsidRDefault="00FD3583">
      <w:pPr>
        <w:pStyle w:val="CommentText"/>
      </w:pPr>
      <w:r>
        <w:rPr>
          <w:rStyle w:val="CommentReference"/>
        </w:rPr>
        <w:annotationRef/>
      </w:r>
      <w:r>
        <w:t>Check this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3504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-ItalicMT">
    <w:charset w:val="00"/>
    <w:family w:val="swiss"/>
    <w:pitch w:val="variable"/>
    <w:sig w:usb0="E0000AFF" w:usb1="00007843" w:usb2="00000001" w:usb3="00000000" w:csb0="000001BF" w:csb1="00000000"/>
  </w:font>
  <w:font w:name="CourierNewPS-Bold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 De Barr">
    <w15:presenceInfo w15:providerId="None" w15:userId="Andre De Ba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D"/>
    <w:rsid w:val="0008655C"/>
    <w:rsid w:val="000F14DD"/>
    <w:rsid w:val="00343F3B"/>
    <w:rsid w:val="004634C3"/>
    <w:rsid w:val="0053731C"/>
    <w:rsid w:val="00562442"/>
    <w:rsid w:val="007A2516"/>
    <w:rsid w:val="008C7694"/>
    <w:rsid w:val="00A11167"/>
    <w:rsid w:val="00E56B73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3E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35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5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5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5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1267</Words>
  <Characters>7225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DeBarr</dc:creator>
  <cp:lastModifiedBy>Andre De Barr</cp:lastModifiedBy>
  <cp:revision>3</cp:revision>
  <dcterms:created xsi:type="dcterms:W3CDTF">2017-09-22T02:17:00Z</dcterms:created>
  <dcterms:modified xsi:type="dcterms:W3CDTF">2017-10-12T04:50:00Z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-79007567</vt:i4>
  </property>
  <property fmtid="{D5CDD505-2E9C-101B-9397-08002B2CF9AE}" pid="3" name="_NewReviewCycle">
    <vt:lpwstr/>
  </property>
  <property fmtid="{D5CDD505-2E9C-101B-9397-08002B2CF9AE}" pid="4" name="_EmailSubject">
    <vt:lpwstr>documents</vt:lpwstr>
  </property>
  <property fmtid="{D5CDD505-2E9C-101B-9397-08002B2CF9AE}" pid="5" name="_AuthorEmail">
    <vt:lpwstr>Andre.DeBarr@ccc.wa.gov.au</vt:lpwstr>
  </property>
  <property fmtid="{D5CDD505-2E9C-101B-9397-08002B2CF9AE}" pid="6" name="_AuthorEmailDisplayName">
    <vt:lpwstr>Andre DeBarr</vt:lpwstr>
  </property>
  <property fmtid="{D5CDD505-2E9C-101B-9397-08002B2CF9AE}" pid="7" name="_PreviousAdHocReviewCycleID">
    <vt:i4>-79007567</vt:i4>
  </property>
</Properties>
</file>